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76" w:beforeAutospacing="0" w:after="676" w:afterAutospacing="0" w:line="390" w:lineRule="atLeast"/>
        <w:ind w:left="0" w:right="0"/>
        <w:jc w:val="center"/>
        <w:textAlignment w:val="baseline"/>
        <w:rPr>
          <w:b/>
          <w:color w:val="444444"/>
          <w:sz w:val="30"/>
          <w:szCs w:val="30"/>
        </w:rPr>
      </w:pPr>
      <w:r>
        <w:rPr>
          <w:b/>
          <w:i w:val="0"/>
          <w:caps w:val="0"/>
          <w:color w:val="444444"/>
          <w:spacing w:val="0"/>
          <w:sz w:val="30"/>
          <w:szCs w:val="30"/>
          <w:bdr w:val="none" w:color="auto" w:sz="0" w:space="0"/>
          <w:vertAlign w:val="baseline"/>
        </w:rPr>
        <w:t>天津大学2021年双证非全日制公共管理硕士（MPA）招生简章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826" w:beforeAutospacing="0" w:after="676" w:afterAutospacing="0"/>
        <w:ind w:left="0" w:right="0"/>
        <w:jc w:val="center"/>
        <w:textAlignment w:val="baseline"/>
        <w:rPr>
          <w:color w:val="999999"/>
        </w:rPr>
      </w:pPr>
      <w:r>
        <w:rPr>
          <w:rFonts w:ascii="微软雅黑" w:hAnsi="微软雅黑" w:eastAsia="微软雅黑" w:cs="微软雅黑"/>
          <w:b/>
          <w:i w:val="0"/>
          <w:caps w:val="0"/>
          <w:color w:val="999999"/>
          <w:spacing w:val="0"/>
          <w:sz w:val="21"/>
          <w:szCs w:val="21"/>
          <w:bdr w:val="none" w:color="auto" w:sz="0" w:space="0"/>
          <w:vertAlign w:val="baseline"/>
        </w:rPr>
        <w:t>时间：</w:t>
      </w:r>
      <w:r>
        <w:rPr>
          <w:rFonts w:hint="eastAsia" w:ascii="微软雅黑" w:hAnsi="微软雅黑" w:eastAsia="微软雅黑" w:cs="微软雅黑"/>
          <w:i w:val="0"/>
          <w:caps w:val="0"/>
          <w:color w:val="999999"/>
          <w:spacing w:val="0"/>
          <w:sz w:val="21"/>
          <w:szCs w:val="21"/>
          <w:bdr w:val="none" w:color="auto" w:sz="0" w:space="0"/>
          <w:vertAlign w:val="baseline"/>
        </w:rPr>
        <w:t>2020-09-17  </w:t>
      </w:r>
      <w:r>
        <w:rPr>
          <w:rFonts w:hint="eastAsia" w:ascii="微软雅黑" w:hAnsi="微软雅黑" w:eastAsia="微软雅黑" w:cs="微软雅黑"/>
          <w:b/>
          <w:i w:val="0"/>
          <w:caps w:val="0"/>
          <w:color w:val="999999"/>
          <w:spacing w:val="0"/>
          <w:sz w:val="21"/>
          <w:szCs w:val="21"/>
          <w:bdr w:val="none" w:color="auto" w:sz="0" w:space="0"/>
          <w:vertAlign w:val="baseline"/>
        </w:rPr>
        <w:t>点击量：</w:t>
      </w:r>
      <w:r>
        <w:rPr>
          <w:rFonts w:hint="eastAsia" w:ascii="微软雅黑" w:hAnsi="微软雅黑" w:eastAsia="微软雅黑" w:cs="微软雅黑"/>
          <w:i w:val="0"/>
          <w:caps w:val="0"/>
          <w:color w:val="999999"/>
          <w:spacing w:val="0"/>
          <w:sz w:val="21"/>
          <w:szCs w:val="21"/>
          <w:bdr w:val="none" w:color="auto" w:sz="0" w:space="0"/>
          <w:vertAlign w:val="baseline"/>
        </w:rPr>
        <w:t>12689</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天津大学是教育部直属国家重点大学，其前身为北洋大学，始建于1895年10月2日，是中国第一所现代大学，素以“实事求是”的校训、“严谨治学”的校风和“爱国奉献”的传统享誉海内外。1951年经国家院系调整定名为天津大学，是1959年中共中央首批确定的16所国家重点大学之一,是“211工程”、“985工程”首批重点建设的大学，是世界一流大学A类建设高校，全国首批“2011协同创新中心”14个牵头高校之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天津大学从1978年开始设立管理学科，1984年经教育部批准成立管理学院，是全国高校中最早创立管理学院的院校之一。为进一步激发基层学术组织创新活力，增强管理与经济类学科综合实力和核心竞争力，2009年，学校率先在管理和经济学科群试行学部制改革，重组原有院、所机构，形成了新的管理与经济学部，为管理与经济学科的发展壮大提供了一个崭新、广阔的平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2000年，经国家教育部学位办批准，天津大学成为国内首批24所公共管理专业学位研究生教育(MPA)试点院校之一。依托于天津大学的管理学科群优势，MPA教育以“致力于成为集教学、科研与服务于一体的公共管理政策智库、人才培养基地”为使命，已经形成了城市治理、政务信息安全与管理、社会保障、低碳经济与可持续发展、知识产权管理等五个特色培养方向，面向多个公共管理领域提供专业的政策咨询和人才培养服务。同时，2013年、2018年，顺利通过国际知名商管认证之一的AMBA认证及再认证，为国内唯一两次获得最长5年期AMBA国际认证的MPA项目。多年来，天津大学MPA项目已经与各级政府、事业单位、国有大中型企业建立了紧密的联系，以多种形式开展咨询、培训与人才培养合作，为政府、事业单位、国有企业和非政府公共部门培养了大批具备现代公共管理理论和素养、掌握先进分析方法及技术的优秀人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悠久的办学历史，深厚的文化底蕴、严谨的治学风格、专业的教学团队、细致的管理服务、美丽的校园风光，丰富的校园生活，天津大学MPA教育必将成为青年才俊们成功的摇篮，实现梦想的阶梯。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textAlignment w:val="baseline"/>
      </w:pPr>
      <w:r>
        <w:rPr>
          <w:rStyle w:val="6"/>
          <w:rFonts w:hint="eastAsia" w:ascii="微软雅黑" w:hAnsi="微软雅黑" w:eastAsia="微软雅黑" w:cs="微软雅黑"/>
          <w:i w:val="0"/>
          <w:caps w:val="0"/>
          <w:color w:val="777777"/>
          <w:spacing w:val="0"/>
          <w:kern w:val="0"/>
          <w:sz w:val="28"/>
          <w:szCs w:val="28"/>
          <w:bdr w:val="none" w:color="auto" w:sz="0" w:space="0"/>
          <w:vertAlign w:val="baseline"/>
          <w:lang w:val="en-US" w:eastAsia="zh-CN" w:bidi="ar"/>
        </w:rPr>
        <w:t>项目使命：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致力于成为集教学、科研与服务于一体的公共管理政策智库、人才培养基地。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textAlignment w:val="baseline"/>
      </w:pPr>
      <w:r>
        <w:rPr>
          <w:rStyle w:val="6"/>
          <w:rFonts w:hint="eastAsia" w:ascii="微软雅黑" w:hAnsi="微软雅黑" w:eastAsia="微软雅黑" w:cs="微软雅黑"/>
          <w:i w:val="0"/>
          <w:caps w:val="0"/>
          <w:color w:val="777777"/>
          <w:spacing w:val="0"/>
          <w:kern w:val="0"/>
          <w:sz w:val="28"/>
          <w:szCs w:val="28"/>
          <w:bdr w:val="none" w:color="auto" w:sz="0" w:space="0"/>
          <w:vertAlign w:val="baseline"/>
          <w:lang w:val="en-US" w:eastAsia="zh-CN" w:bidi="ar"/>
        </w:rPr>
        <w:t>特色方向：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城市治理：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注重发挥经济学、管理学的优势，在教学培养中突出经济和管理的交叉特色，培养能够将公共管理知识运用到城市管理领域，具有国际视野和现代化治理理念的城市管理专业人才。不仅拥有一流的师资队伍，还聘请国内外知名学者、政府部门高级官员等担任兼职教授或客座教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政务信息安全与管理：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紧密把握新时代公共管理的发展趋势，并结合我国对公共管理提出的新要求和新理念，培养国家信息安全、保密管理以及电子政务等方面的高层次复合型人才。定期邀请国内外知名专家学者开展实践领域及前沿问题讲座，了解政务信息安全与管理最前沿的理论发展，为培养公共管理的专业人才创设了最佳的情境模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社会保障：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采用案例式、模拟式、讲授式、研讨式等多种教学方式，培养社会保障、社会保险以及社会保障基金管理等领域的专业管理人才。邀请中外各界学术专家定期举办各类学术交流活动、研讨会。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低碳经济与可持续发展：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核心课程瞄准国内外学科前沿，在自身特色和培养方向要求的基础上，力求提供丰富性和多样性内容学习。着力培养适应全球治理发展，熟悉国家宏观政策，掌握公共管理理论、知识和方法，通晓低碳经济管理与公共资源配置等的复合型高端管理人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知识产权管理：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打造一流教学研究平台，集纳丰富的第二课堂和实践基地，培养熟悉知识产权法，通晓知识产权信息管理等的交叉复合型人才。不仅能够聆听国内外知名学者的传授讲解，还有来自全国的强大校友网络环绕。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textAlignment w:val="baseline"/>
      </w:pPr>
      <w:r>
        <w:rPr>
          <w:rStyle w:val="6"/>
          <w:rFonts w:hint="eastAsia" w:ascii="微软雅黑" w:hAnsi="微软雅黑" w:eastAsia="微软雅黑" w:cs="微软雅黑"/>
          <w:i w:val="0"/>
          <w:caps w:val="0"/>
          <w:color w:val="777777"/>
          <w:spacing w:val="0"/>
          <w:kern w:val="0"/>
          <w:sz w:val="28"/>
          <w:szCs w:val="28"/>
          <w:bdr w:val="none" w:color="auto" w:sz="0" w:space="0"/>
          <w:vertAlign w:val="baseline"/>
          <w:lang w:val="en-US" w:eastAsia="zh-CN" w:bidi="ar"/>
        </w:rPr>
        <w:t>课程模块：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必修课程：</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公共管理学、公共政策分析、公共经济学、社会研究方法、公共管理伦理学、公共人力资源管理、公共财政学、宪法与行政法、政治学、公共管理英语、学术道德规范、中国特色社会主义理论与实践研究；公共管理改革与创新（案例教学）、公共管理前沿讲座、社会实践调查报告、学位论文开题报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城市治理方向：</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地方政府治理、公共危机管理、城市经济与环境管理、公共项目投资管理、非营利组织；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政务信息安全与管理方向：</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国家信息安全策略分析、信息安全保密技术与管理、党政机关保密管理、保密法学、电子政务；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社会保障方向：</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社会保障学、社会保险、社会福利与社会救助、社会保障基金管理；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低碳经济与可持续发展方向：</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低碳经济管理、区域规划与管理、土地管理、公共资源配置；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知识产权管理方向：</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知识产权法、知识产权战略、知识产权信息管理、知识管理与技术创新、知识产权管理；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15"/>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专业通识：</w:t>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领导力开发、公共组织行为与绩效管理、社会学、管理沟通、公文写作。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一、报考条件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◆中华人民共和国公民；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◆拥护中国共产党的领导，品德良好，遵纪守法；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◆考生的学历必须符合下列条件之一：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①大学本科毕业后有3年及以上工作经验的人员（2018年9月1日以前毕业）；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②获得国家承认的高职高专毕业学历或大学本科结业后，有5年及以上工作经验，达到与大学本科毕业生同等学力的人员（2016年9月1日以前毕业）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③已获硕士学位或博士学位并有2年及以上工作经验的人员（2019年9月1日以前毕业）；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◆身体健康状况符合国家规定的体检要求。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二、报名方式及时间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1.报名方式：网上报名和网上确认（现场确认）相结合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◆网上报名：中国研究生招生信息网网址：http://yz.chsi.com.cn或者http://yz.chsi.cn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◆网上信息确认（现场确认）：报名期间将对考生学历（学籍）信息进行网上校验，考生可随时上网查看学历（学籍）校验结果。考生也可在报名前或报名期间自行登录“中国高等教育学生信息网”（网址： http://www.chsi.com.cn）查询本人学历（学籍）信息。未通过学历（学籍）校验的考生应及时到学籍学历权威认证机构进行认证，在网上确认（现场确认）时将认证报告交报考点核验。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2.报名时间：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◆网上报名时间：2020年10月10日至31日，每天9：00-22：00</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◆网上信息确认（现场确认）时间：具体时间请报考时关注各报考点安排，逾期不再补办。</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三、考试科目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63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入学考试分初试和复试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◆初试：管理类专业学位硕士研究生入学考试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199管理类联考综合能力（满分200分）；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204英语二（满分100分，重点考查考生英语应用能力，尤其是阅读和翻译能力）。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◆复试：包括社会发展与时事政治笔试、综合素质测试、英语水平测试。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四、学制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MPA学制为二年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五、招生计划、学费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计划：200人左右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学费：5.6万/两年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六、上课方式：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周末授课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七、上课地点：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天津大学卫津路校区（天津市南开区卫津路92号）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Style w:val="6"/>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八、报名注意事项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1.报考专业代码：125200公共管理硕士</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2.凡报考天津大学MPA的考生必须按规定时间在网上提交报名信息，缴纳报名费，并按照网站要求确认网报信息，不经确认信息者网上报名无效。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考生本人对网上报名信息进行核对并确认，经考生确认的报名信息在考试、复试及录取阶段一律不作修改。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3.报考天津大学MPA的天津考生在网上报名时“报考单位”必须选择“天津大学”；外地考生报名时，应选择工作或户口所在地省级教育招生考试机构指定的报考点办理网上报名和网上确认（现场确认）手续。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2021年除坐落在天津市的高校普通全日制应届本科毕业生以外的其他考生选择天津大学报考点参加研考，需满足天津市教育招生考试院《关于对2021年研考选择天津市报名点考生的提示》相关要求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（网址：</w:t>
      </w:r>
      <w:r>
        <w:rPr>
          <w:rFonts w:hint="eastAsia" w:ascii="微软雅黑" w:hAnsi="微软雅黑" w:eastAsia="微软雅黑" w:cs="微软雅黑"/>
          <w:i w:val="0"/>
          <w:caps w:val="0"/>
          <w:spacing w:val="0"/>
          <w:kern w:val="0"/>
          <w:sz w:val="24"/>
          <w:szCs w:val="24"/>
          <w:u w:val="none"/>
          <w:bdr w:val="none" w:color="auto" w:sz="0" w:space="0"/>
          <w:vertAlign w:val="baseline"/>
          <w:lang w:val="en-US" w:eastAsia="zh-CN" w:bidi="ar"/>
        </w:rPr>
        <w:fldChar w:fldCharType="begin"/>
      </w:r>
      <w:r>
        <w:rPr>
          <w:rFonts w:hint="eastAsia" w:ascii="微软雅黑" w:hAnsi="微软雅黑" w:eastAsia="微软雅黑" w:cs="微软雅黑"/>
          <w:i w:val="0"/>
          <w:caps w:val="0"/>
          <w:spacing w:val="0"/>
          <w:kern w:val="0"/>
          <w:sz w:val="24"/>
          <w:szCs w:val="24"/>
          <w:u w:val="none"/>
          <w:bdr w:val="none" w:color="auto" w:sz="0" w:space="0"/>
          <w:vertAlign w:val="baseline"/>
          <w:lang w:val="en-US" w:eastAsia="zh-CN" w:bidi="ar"/>
        </w:rPr>
        <w:instrText xml:space="preserve"> HYPERLINK "https://mp.weixin.qq.com/s/M2UGJkpSg8AfqoxMXcCOJg" </w:instrText>
      </w:r>
      <w:r>
        <w:rPr>
          <w:rFonts w:hint="eastAsia" w:ascii="微软雅黑" w:hAnsi="微软雅黑" w:eastAsia="微软雅黑" w:cs="微软雅黑"/>
          <w:i w:val="0"/>
          <w:caps w:val="0"/>
          <w:spacing w:val="0"/>
          <w:kern w:val="0"/>
          <w:sz w:val="24"/>
          <w:szCs w:val="24"/>
          <w:u w:val="none"/>
          <w:bdr w:val="none" w:color="auto" w:sz="0" w:space="0"/>
          <w:vertAlign w:val="baseline"/>
          <w:lang w:val="en-US" w:eastAsia="zh-CN" w:bidi="ar"/>
        </w:rPr>
        <w:fldChar w:fldCharType="separate"/>
      </w:r>
      <w:r>
        <w:rPr>
          <w:rStyle w:val="7"/>
          <w:rFonts w:hint="eastAsia" w:ascii="微软雅黑" w:hAnsi="微软雅黑" w:eastAsia="微软雅黑" w:cs="微软雅黑"/>
          <w:i w:val="0"/>
          <w:caps w:val="0"/>
          <w:spacing w:val="0"/>
          <w:u w:val="none"/>
          <w:bdr w:val="none" w:color="auto" w:sz="0" w:space="0"/>
          <w:vertAlign w:val="baseline"/>
          <w:lang w:val="en-US"/>
        </w:rPr>
        <w:t>https://mp.weixin.qq.com/s/M2UGJkpSg8AfqoxMXcCOJg</w:t>
      </w:r>
      <w:r>
        <w:rPr>
          <w:rFonts w:hint="eastAsia" w:ascii="微软雅黑" w:hAnsi="微软雅黑" w:eastAsia="微软雅黑" w:cs="微软雅黑"/>
          <w:i w:val="0"/>
          <w:caps w:val="0"/>
          <w:spacing w:val="0"/>
          <w:kern w:val="0"/>
          <w:sz w:val="24"/>
          <w:szCs w:val="24"/>
          <w:u w:val="none"/>
          <w:bdr w:val="none" w:color="auto" w:sz="0" w:space="0"/>
          <w:vertAlign w:val="baseline"/>
          <w:lang w:val="en-US" w:eastAsia="zh-CN" w:bidi="ar"/>
        </w:rPr>
        <w:fldChar w:fldCharType="end"/>
      </w: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  以上信息以及报考点信息一经确认提交，将不允许修改，考生应慎重选择。考生入校后才能与导师进行双向选择。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4.报考类别的选择：定向就业。定向就业硕士研究生须在被录取前与招生单位、用人单位分别签订定向就业合同，毕业后回定向单位就业。。</w:t>
      </w:r>
      <w:r>
        <w:rPr>
          <w:rFonts w:hint="eastAsia" w:ascii="微软雅黑" w:hAnsi="微软雅黑" w:eastAsia="微软雅黑" w:cs="微软雅黑"/>
          <w:i w:val="0"/>
          <w:caps w:val="0"/>
          <w:color w:val="FF0000"/>
          <w:spacing w:val="0"/>
          <w:kern w:val="0"/>
          <w:sz w:val="24"/>
          <w:szCs w:val="24"/>
          <w:bdr w:val="none" w:color="auto" w:sz="0" w:space="0"/>
          <w:vertAlign w:val="baseline"/>
          <w:lang w:val="en-US" w:eastAsia="zh-CN" w:bidi="ar"/>
        </w:rPr>
        <w:t>[注意：原则上非全日制硕士研究生只招收在职定向就业人员]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20"/>
        <w:jc w:val="left"/>
        <w:textAlignment w:val="baseline"/>
      </w:pPr>
      <w:r>
        <w:rPr>
          <w:rFonts w:hint="eastAsia" w:ascii="微软雅黑" w:hAnsi="微软雅黑" w:eastAsia="微软雅黑" w:cs="微软雅黑"/>
          <w:i w:val="0"/>
          <w:caps w:val="0"/>
          <w:color w:val="777777"/>
          <w:spacing w:val="0"/>
          <w:kern w:val="0"/>
          <w:sz w:val="24"/>
          <w:szCs w:val="24"/>
          <w:bdr w:val="none" w:color="auto" w:sz="0" w:space="0"/>
          <w:vertAlign w:val="baseline"/>
          <w:lang w:val="en-US" w:eastAsia="zh-CN" w:bidi="ar"/>
        </w:rPr>
        <w:t>5．2020年12月19日-28日，考生可凭网报用户名和密码登录“研招网”下载打印《准考证》。《准考证》正反两面在使用期间不得涂改。考生凭下载打印的《准考证》及第二代居民身份证参加考试。</w:t>
      </w:r>
    </w:p>
    <w:p>
      <w:r>
        <w:drawing>
          <wp:inline distT="0" distB="0" distL="114300" distR="114300">
            <wp:extent cx="5266055" cy="3578860"/>
            <wp:effectExtent l="0" t="0" r="1079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055" cy="3578860"/>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390" w:lineRule="atLeast"/>
        <w:ind w:left="0" w:right="0" w:firstLine="420"/>
        <w:jc w:val="left"/>
        <w:textAlignment w:val="baseline"/>
        <w:rPr>
          <w:rFonts w:ascii="微软雅黑" w:hAnsi="微软雅黑" w:eastAsia="微软雅黑" w:cs="微软雅黑"/>
          <w:i w:val="0"/>
          <w:caps w:val="0"/>
          <w:color w:val="777777"/>
          <w:spacing w:val="0"/>
          <w:sz w:val="21"/>
          <w:szCs w:val="21"/>
        </w:rPr>
      </w:pPr>
      <w:r>
        <w:rPr>
          <w:rStyle w:val="6"/>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   十、咨询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天津大学管理与经济学部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MPA招生电话：（022）87402083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MPA中心网站： http://mpa.tju.edu.cn/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地址：天津大学25教学楼A区103室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MPA备考QQ群：165492263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400" w:lineRule="atLeast"/>
        <w:ind w:left="0" w:right="0" w:firstLine="420"/>
        <w:jc w:val="left"/>
        <w:textAlignment w:val="baseline"/>
        <w:rPr>
          <w:rFonts w:hint="eastAsia" w:ascii="微软雅黑" w:hAnsi="微软雅黑" w:eastAsia="微软雅黑" w:cs="微软雅黑"/>
          <w:i w:val="0"/>
          <w:caps w:val="0"/>
          <w:color w:val="777777"/>
          <w:spacing w:val="0"/>
          <w:sz w:val="21"/>
          <w:szCs w:val="21"/>
        </w:rPr>
      </w:pPr>
      <w:r>
        <w:rPr>
          <w:rFonts w:hint="eastAsia" w:ascii="微软雅黑" w:hAnsi="微软雅黑" w:eastAsia="微软雅黑" w:cs="微软雅黑"/>
          <w:i w:val="0"/>
          <w:caps w:val="0"/>
          <w:color w:val="777777"/>
          <w:spacing w:val="0"/>
          <w:kern w:val="0"/>
          <w:sz w:val="21"/>
          <w:szCs w:val="21"/>
          <w:bdr w:val="none" w:color="auto" w:sz="0" w:space="0"/>
          <w:shd w:val="clear" w:fill="FAFAFA"/>
          <w:vertAlign w:val="baseline"/>
          <w:lang w:val="en-US" w:eastAsia="zh-CN" w:bidi="ar"/>
        </w:rPr>
        <w:t>注：最终以天津大学研究生院发布的2021年校级招生简章为准。</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E0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2021-08-25T02:28:41Z</dcterms:created>
  <dc:creator>SUCCESS</dc:creator>
  <cp:lastModifiedBy>Yuer</cp:lastModifiedBy>
  <dcterms:modified xsi:type="dcterms:W3CDTF">2021-08-25T02:34:50Z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