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tbl>
      <w:tblPr>
        <w:tblW w:w="10000" w:type="dxa"/>
        <w:jc w:val="center"/>
        <w:tblCellSpacing w:w="45" w:type="dxa"/>
        <w:shd w:val="clear" w:color="auto" w:fill="FFFFFF"/>
        <w:tblLayout w:type="autofit"/>
        <w:tblCellMar>
          <w:top w:w="0" w:type="dxa"/>
          <w:left w:w="0" w:type="dxa"/>
          <w:bottom w:w="0" w:type="dxa"/>
          <w:right w:w="0" w:type="dxa"/>
        </w:tblCellMar>
      </w:tblPr>
      <w:tblGrid>
        <w:gridCol w:w="10000"/>
      </w:tblGrid>
      <w:tr>
        <w:tblPrEx>
          <w:shd w:val="clear" w:color="auto" w:fill="FFFFFF"/>
          <w:tblCellMar>
            <w:top w:w="0" w:type="dxa"/>
            <w:left w:w="0" w:type="dxa"/>
            <w:bottom w:w="0" w:type="dxa"/>
            <w:right w:w="0" w:type="dxa"/>
          </w:tblCellMar>
        </w:tblPrEx>
        <w:trPr>
          <w:trHeight w:val="12306" w:hRule="atLeast"/>
          <w:tblCellSpacing w:w="45" w:type="dxa"/>
          <w:jc w:val="center"/>
        </w:trPr>
        <w:tc>
          <w:tcPr>
            <w:tcW w:w="9820" w:type="dxa"/>
            <w:shd w:val="clear" w:color="auto" w:fill="FFFFFF"/>
            <w:vAlign w:val="top"/>
          </w:tcPr>
          <w:p/>
          <w:tbl>
            <w:tblPr>
              <w:tblW w:w="4875" w:type="pct"/>
              <w:tblCellSpacing w:w="0" w:type="dxa"/>
              <w:tblInd w:w="0" w:type="dxa"/>
              <w:shd w:val="clear"/>
              <w:tblLayout w:type="autofit"/>
              <w:tblCellMar>
                <w:top w:w="0" w:type="dxa"/>
                <w:left w:w="0" w:type="dxa"/>
                <w:bottom w:w="0" w:type="dxa"/>
                <w:right w:w="0" w:type="dxa"/>
              </w:tblCellMar>
            </w:tblPr>
            <w:tblGrid>
              <w:gridCol w:w="9575"/>
            </w:tblGrid>
            <w:tr>
              <w:tblPrEx>
                <w:shd w:val="clear"/>
                <w:tblCellMar>
                  <w:top w:w="0" w:type="dxa"/>
                  <w:left w:w="0" w:type="dxa"/>
                  <w:bottom w:w="0" w:type="dxa"/>
                  <w:right w:w="0" w:type="dxa"/>
                </w:tblCellMar>
              </w:tblPrEx>
              <w:trPr>
                <w:trHeight w:val="90" w:hRule="atLeast"/>
                <w:tblCellSpacing w:w="0" w:type="dxa"/>
              </w:trPr>
              <w:tc>
                <w:tcPr>
                  <w:tcW w:w="0" w:type="auto"/>
                  <w:shd w:val="clear"/>
                  <w:vAlign w:val="center"/>
                </w:tcPr>
                <w:p>
                  <w:pPr>
                    <w:rPr>
                      <w:rFonts w:hint="eastAsia"/>
                    </w:rPr>
                  </w:pPr>
                  <w:bookmarkStart w:id="0" w:name="_GoBack"/>
                  <w:r>
                    <w:rPr>
                      <w:rFonts w:hint="eastAsia"/>
                      <w:b/>
                      <w:bCs/>
                      <w:lang w:val="en-US" w:eastAsia="zh-CN"/>
                    </w:rPr>
                    <w:t>天津财经大学2021年公共管理硕士（MPA）招生简章</w:t>
                  </w:r>
                  <w:bookmarkEnd w:id="0"/>
                </w:p>
              </w:tc>
            </w:tr>
            <w:tr>
              <w:tblPrEx>
                <w:tblCellMar>
                  <w:top w:w="0" w:type="dxa"/>
                  <w:left w:w="0" w:type="dxa"/>
                  <w:bottom w:w="0" w:type="dxa"/>
                  <w:right w:w="0" w:type="dxa"/>
                </w:tblCellMar>
              </w:tblPrEx>
              <w:trPr>
                <w:trHeight w:val="436" w:hRule="atLeast"/>
                <w:tblCellSpacing w:w="0" w:type="dxa"/>
              </w:trPr>
              <w:tc>
                <w:tcPr>
                  <w:tcW w:w="0" w:type="auto"/>
                  <w:shd w:val="clear"/>
                  <w:vAlign w:val="center"/>
                </w:tcPr>
                <w:p>
                  <w:pPr>
                    <w:rPr>
                      <w:rFonts w:hint="eastAsia"/>
                    </w:rPr>
                  </w:pPr>
                </w:p>
              </w:tc>
            </w:tr>
            <w:tr>
              <w:tblPrEx>
                <w:tblCellMar>
                  <w:top w:w="0" w:type="dxa"/>
                  <w:left w:w="0" w:type="dxa"/>
                  <w:bottom w:w="0" w:type="dxa"/>
                  <w:right w:w="0" w:type="dxa"/>
                </w:tblCellMar>
              </w:tblPrEx>
              <w:trPr>
                <w:trHeight w:val="302" w:hRule="atLeast"/>
                <w:tblCellSpacing w:w="0" w:type="dxa"/>
              </w:trPr>
              <w:tc>
                <w:tcPr>
                  <w:tcW w:w="0" w:type="auto"/>
                  <w:shd w:val="clear"/>
                  <w:vAlign w:val="center"/>
                </w:tcPr>
                <w:p>
                  <w:pPr>
                    <w:rPr>
                      <w:rFonts w:hint="eastAsia"/>
                    </w:rPr>
                  </w:pPr>
                </w:p>
              </w:tc>
            </w:tr>
            <w:tr>
              <w:trPr>
                <w:trHeight w:val="11507" w:hRule="atLeast"/>
                <w:tblCellSpacing w:w="0" w:type="dxa"/>
              </w:trPr>
              <w:tc>
                <w:tcPr>
                  <w:tcW w:w="0" w:type="auto"/>
                  <w:shd w:val="clear"/>
                  <w:vAlign w:val="center"/>
                </w:tcPr>
                <w:p>
                  <w:r>
                    <w:rPr>
                      <w:rFonts w:hint="eastAsia"/>
                    </w:rPr>
                    <w:t>天津财经大学是新中国最早建立的财经大学之一，坐落在美丽的渤海之滨，是一所以经济学和管理学科为主干，兼有法学、文学、理学、工学、教育学、艺术学等学科门类交叉渗透、协调发展的多科性大学；是天津市市属重点大学和我国北方培养高级经济管理人才的重要基地。学校拥有3个一级学科博士点和博士后流动站，拥有9个一级学科硕士点，以及包含公共管理硕士（</w:t>
                  </w:r>
                  <w:r>
                    <w:t>MPA</w:t>
                  </w:r>
                  <w:r>
                    <w:rPr>
                      <w:rFonts w:hint="eastAsia"/>
                    </w:rPr>
                    <w:t>）在内的13个专业硕士学位点，形成包括博士、硕士、学士、成人教育、留学生教育以及从业资格培训等在内的层次齐全、形式多样的人才培养序列。</w:t>
                  </w:r>
                  <w:r>
                    <w:rPr>
                      <w:rFonts w:hint="eastAsia"/>
                    </w:rPr>
                    <w:br w:type="textWrapping"/>
                  </w:r>
                  <w:r>
                    <w:rPr>
                      <w:rFonts w:hint="eastAsia"/>
                    </w:rPr>
                    <w:t>天津财经大学</w:t>
                  </w:r>
                  <w:r>
                    <w:rPr>
                      <w:rFonts w:hint="default"/>
                    </w:rPr>
                    <w:t>MPA</w:t>
                  </w:r>
                  <w:r>
                    <w:rPr>
                      <w:rFonts w:hint="eastAsia"/>
                    </w:rPr>
                    <w:t>项目所在的财税与公共管理学院，是</w:t>
                  </w:r>
                  <w:r>
                    <w:rPr>
                      <w:rFonts w:hint="eastAsia"/>
                    </w:rPr>
                    <w:t>以培养新时代财税与公共管理人才为使命，以立德树人为根本、以学科建设为龙头、以人才培养为中心、以师资队伍为支撑、以制度建设为保障，坚定不移走内涵式发展道路的具有“财经特色、学科融合、区域领先、国内知名”的学院。</w:t>
                  </w:r>
                  <w:r>
                    <w:rPr>
                      <w:rFonts w:hint="eastAsia"/>
                    </w:rPr>
                    <w:t>学院于2020年荣获天津市“三全育人”综合改革试点院（系）实效奖和天津市“三八红旗集体”。</w:t>
                  </w:r>
                </w:p>
                <w:p>
                  <w:r>
                    <w:rPr>
                      <w:rFonts w:hint="eastAsia"/>
                    </w:rPr>
                    <w:t>天津财经大学</w:t>
                  </w:r>
                  <w:r>
                    <w:rPr>
                      <w:rFonts w:hint="default"/>
                    </w:rPr>
                    <w:t>MPA</w:t>
                  </w:r>
                  <w:r>
                    <w:rPr>
                      <w:rFonts w:hint="eastAsia"/>
                    </w:rPr>
                    <w:t>项目所依托的公共管理学科是天津市最早获得一级学科硕士点的市属院校，是天津市重点学科和市级特色学科群。学校于2007 年获得全国公共管理硕士（</w:t>
                  </w:r>
                  <w:r>
                    <w:rPr>
                      <w:rFonts w:hint="default"/>
                    </w:rPr>
                    <w:t>MPA</w:t>
                  </w:r>
                  <w:r>
                    <w:rPr>
                      <w:rFonts w:hint="eastAsia"/>
                    </w:rPr>
                    <w:t>）招生培养资格，并于当年正式招生。2018年教育部专业学位评估中取得优异成绩，在财经类院校位于前列。</w:t>
                  </w:r>
                </w:p>
                <w:p>
                  <w:r>
                    <w:rPr>
                      <w:rFonts w:hint="eastAsia"/>
                    </w:rPr>
                    <w:t>2021年继续面向全国招收公共管理硕士（</w:t>
                  </w:r>
                  <w:r>
                    <w:rPr>
                      <w:rFonts w:hint="default"/>
                    </w:rPr>
                    <w:t>MPA</w:t>
                  </w:r>
                  <w:r>
                    <w:rPr>
                      <w:rFonts w:hint="eastAsia"/>
                    </w:rPr>
                    <w:t>）研究生。</w:t>
                  </w:r>
                </w:p>
                <w:p>
                  <w:r>
                    <w:rPr>
                      <w:rFonts w:hint="eastAsia"/>
                    </w:rPr>
                    <w:t> </w:t>
                  </w:r>
                </w:p>
                <w:p/>
                <w:p>
                  <w:pPr>
                    <w:rPr>
                      <w:rFonts w:hint="eastAsia"/>
                    </w:rPr>
                  </w:pPr>
                  <w:r>
                    <w:rPr>
                      <w:rFonts w:hint="eastAsia"/>
                    </w:rPr>
                    <w:t>报考条件</w:t>
                  </w:r>
                  <w:r>
                    <w:rPr>
                      <w:rFonts w:hint="eastAsia"/>
                    </w:rPr>
                    <w:br w:type="textWrapping"/>
                  </w:r>
                  <w:r>
                    <w:rPr>
                      <w:rFonts w:hint="eastAsia"/>
                    </w:rPr>
                    <w:t>1．中华人民共和国公民；</w:t>
                  </w:r>
                  <w:r>
                    <w:rPr>
                      <w:rFonts w:hint="eastAsia"/>
                    </w:rPr>
                    <w:br w:type="textWrapping"/>
                  </w:r>
                  <w:r>
                    <w:rPr>
                      <w:rFonts w:hint="eastAsia"/>
                    </w:rPr>
                    <w:t>2．拥护中国共产党的领导，品德良好，遵纪守法；</w:t>
                  </w:r>
                  <w:r>
                    <w:rPr>
                      <w:rFonts w:hint="eastAsia"/>
                    </w:rPr>
                    <w:br w:type="textWrapping"/>
                  </w:r>
                  <w:r>
                    <w:rPr>
                      <w:rFonts w:hint="eastAsia"/>
                    </w:rPr>
                    <w:t>3．身体健康状况符合国家和招生单位规定的体检要求；</w:t>
                  </w:r>
                  <w:r>
                    <w:rPr>
                      <w:rFonts w:hint="eastAsia"/>
                    </w:rPr>
                    <w:br w:type="textWrapping"/>
                  </w:r>
                  <w:r>
                    <w:rPr>
                      <w:rFonts w:hint="eastAsia"/>
                    </w:rPr>
                    <w:t>4．考生必须符合下列学历等条件之一：</w:t>
                  </w:r>
                  <w:r>
                    <w:rPr>
                      <w:rFonts w:hint="eastAsia"/>
                    </w:rPr>
                    <w:br w:type="textWrapping"/>
                  </w:r>
                  <w:r>
                    <w:rPr>
                      <w:rFonts w:hint="eastAsia"/>
                    </w:rPr>
                    <w:t>（1）大学本科毕业后有3年以上工作经验的人员（2018年9月1日之前毕业）；</w:t>
                  </w:r>
                  <w:r>
                    <w:rPr>
                      <w:rFonts w:hint="eastAsia"/>
                    </w:rPr>
                    <w:br w:type="textWrapping"/>
                  </w:r>
                  <w:r>
                    <w:rPr>
                      <w:rFonts w:hint="eastAsia"/>
                    </w:rPr>
                    <w:t>（2）获得国家承认的高职高专毕业学历后，有5年以上工作经验，达到与大学本科毕业生同等学力的人员（2016年9月1日之前毕业）；</w:t>
                  </w:r>
                  <w:r>
                    <w:rPr>
                      <w:rFonts w:hint="eastAsia"/>
                    </w:rPr>
                    <w:br w:type="textWrapping"/>
                  </w:r>
                  <w:r>
                    <w:rPr>
                      <w:rFonts w:hint="eastAsia"/>
                    </w:rPr>
                    <w:t>（3）获得硕士学位或博士学位后有 2 年以上工作经验的人员（2019年9月1日之前毕业）。</w:t>
                  </w:r>
                </w:p>
                <w:p/>
                <w:p>
                  <w:pPr>
                    <w:rPr>
                      <w:rFonts w:hint="eastAsia"/>
                    </w:rPr>
                  </w:pPr>
                  <w:r>
                    <w:rPr>
                      <w:rFonts w:hint="eastAsia"/>
                    </w:rPr>
                    <w:t>二、培养方向</w:t>
                  </w:r>
                </w:p>
                <w:p/>
                <w:p>
                  <w:pPr>
                    <w:rPr>
                      <w:rFonts w:hint="eastAsia"/>
                    </w:rPr>
                  </w:pPr>
                  <w:r>
                    <w:rPr>
                      <w:rFonts w:hint="eastAsia"/>
                    </w:rPr>
                    <w:t>政府治理、公共政策分析、公共财政与税收管理、社会保障、教育经济与管理</w:t>
                  </w:r>
                  <w:r>
                    <w:rPr>
                      <w:rFonts w:hint="eastAsia"/>
                    </w:rPr>
                    <w:br w:type="textWrapping"/>
                  </w:r>
                  <w:r>
                    <w:rPr>
                      <w:rFonts w:hint="eastAsia"/>
                    </w:rPr>
                    <w:t>三、</w:t>
                  </w:r>
                  <w:r>
                    <w:rPr>
                      <w:rFonts w:hint="eastAsia"/>
                    </w:rPr>
                    <w:t>培养特色与优势</w:t>
                  </w:r>
                  <w:r>
                    <w:rPr>
                      <w:rFonts w:hint="eastAsia"/>
                    </w:rPr>
                    <w:br w:type="textWrapping"/>
                  </w:r>
                  <w:r>
                    <w:rPr>
                      <w:rFonts w:hint="eastAsia"/>
                    </w:rPr>
                    <w:t>　　1．培养特色</w:t>
                  </w:r>
                  <w:r>
                    <w:rPr>
                      <w:rFonts w:hint="eastAsia"/>
                    </w:rPr>
                    <w:br w:type="textWrapping"/>
                  </w:r>
                  <w:r>
                    <w:rPr>
                      <w:rFonts w:hint="eastAsia"/>
                    </w:rPr>
                    <w:t>　　“天财”</w:t>
                  </w:r>
                  <w:r>
                    <w:rPr>
                      <w:rFonts w:hint="default"/>
                    </w:rPr>
                    <w:t>MPA</w:t>
                  </w:r>
                  <w:r>
                    <w:rPr>
                      <w:rFonts w:hint="eastAsia"/>
                    </w:rPr>
                    <w:t>项目始终依托于学校传统的财经类优势学科，在公共管理与公共财政的交叉融合上已形成明显的学科特色，致力于培养高水平、复合型的公共管理专门人才。</w:t>
                  </w:r>
                  <w:r>
                    <w:rPr>
                      <w:rFonts w:hint="eastAsia"/>
                    </w:rPr>
                    <w:br w:type="textWrapping"/>
                  </w:r>
                  <w:r>
                    <w:rPr>
                      <w:rFonts w:hint="eastAsia"/>
                    </w:rPr>
                    <w:t>2．师资力量</w:t>
                  </w:r>
                  <w:r>
                    <w:rPr>
                      <w:rFonts w:hint="eastAsia"/>
                    </w:rPr>
                    <w:br w:type="textWrapping"/>
                  </w:r>
                  <w:r>
                    <w:rPr>
                      <w:rFonts w:hint="eastAsia"/>
                    </w:rPr>
                    <w:t>　　“天财”</w:t>
                  </w:r>
                  <w:r>
                    <w:rPr>
                      <w:rFonts w:hint="default"/>
                    </w:rPr>
                    <w:t>MP</w:t>
                  </w:r>
                  <w:r>
                    <w:rPr>
                      <w:rFonts w:hint="eastAsia"/>
                    </w:rPr>
                    <w:t>A的师资主要来自财政税收及公共管理专业的优秀教师，同时从全校范围内选聘优秀教师承担</w:t>
                  </w:r>
                  <w:r>
                    <w:rPr>
                      <w:rFonts w:hint="default"/>
                    </w:rPr>
                    <w:t>MPA</w:t>
                  </w:r>
                  <w:r>
                    <w:rPr>
                      <w:rFonts w:hint="eastAsia"/>
                    </w:rPr>
                    <w:t>课程教学与论文指导。专职教师100%具有博士学位或副高级以上职称。针对公共管理硕士实践性的要求，我们聘请了二十余位来自实际部门的资深公共管理者作为兼职教师或合作导师。</w:t>
                  </w:r>
                  <w:r>
                    <w:rPr>
                      <w:rFonts w:hint="eastAsia"/>
                    </w:rPr>
                    <w:br w:type="textWrapping"/>
                  </w:r>
                  <w:r>
                    <w:rPr>
                      <w:rFonts w:hint="eastAsia"/>
                    </w:rPr>
                    <w:t>3．实践教学</w:t>
                  </w:r>
                  <w:r>
                    <w:rPr>
                      <w:rFonts w:hint="eastAsia"/>
                    </w:rPr>
                    <w:br w:type="textWrapping"/>
                  </w:r>
                  <w:r>
                    <w:rPr>
                      <w:rFonts w:hint="eastAsia"/>
                    </w:rPr>
                    <w:t>　　“天财”</w:t>
                  </w:r>
                  <w:r>
                    <w:rPr>
                      <w:rFonts w:hint="default"/>
                    </w:rPr>
                    <w:t>MP</w:t>
                  </w:r>
                  <w:r>
                    <w:rPr>
                      <w:rFonts w:hint="eastAsia"/>
                    </w:rPr>
                    <w:t>A突出案例教学和实践教学在教学过程中的比重，通过实践考察及具体案例分析提高学生的公共管理水平和综合专业素质，力求使学生具备解决实际问题的能力。“天财</w:t>
                  </w:r>
                  <w:r>
                    <w:rPr>
                      <w:rFonts w:hint="default"/>
                    </w:rPr>
                    <w:t>MPA</w:t>
                  </w:r>
                  <w:r>
                    <w:rPr>
                      <w:rFonts w:hint="eastAsia"/>
                    </w:rPr>
                    <w:t>讲坛”不定期地邀请校外专家和政府部门的公共管理实践者来学校进行讲座。</w:t>
                  </w:r>
                </w:p>
                <w:p/>
                <w:p>
                  <w:pPr>
                    <w:rPr>
                      <w:rFonts w:hint="eastAsia"/>
                    </w:rPr>
                  </w:pPr>
                  <w:r>
                    <w:rPr>
                      <w:rFonts w:hint="eastAsia"/>
                    </w:rPr>
                    <w:t>四、考试科目及时间</w:t>
                  </w:r>
                  <w:r>
                    <w:rPr>
                      <w:rFonts w:hint="eastAsia"/>
                    </w:rPr>
                    <w:br w:type="textWrapping"/>
                  </w:r>
                  <w:r>
                    <w:rPr>
                      <w:rFonts w:hint="eastAsia"/>
                    </w:rPr>
                    <w:t>　　入学考试包含初试和复试。</w:t>
                  </w:r>
                  <w:r>
                    <w:rPr>
                      <w:rFonts w:hint="eastAsia"/>
                    </w:rPr>
                    <w:br w:type="textWrapping"/>
                  </w:r>
                  <w:r>
                    <w:rPr>
                      <w:rFonts w:hint="eastAsia"/>
                    </w:rPr>
                    <w:t>1．初试。参加教育部统一组织的全国联考。</w:t>
                  </w:r>
                  <w:r>
                    <w:rPr>
                      <w:rFonts w:hint="eastAsia"/>
                    </w:rPr>
                    <w:br w:type="textWrapping"/>
                  </w:r>
                  <w:r>
                    <w:rPr>
                      <w:rFonts w:hint="eastAsia"/>
                    </w:rPr>
                    <w:t>（1）199管理类联考综合能力，2020年12月26日上午8:30-11:30，</w:t>
                  </w:r>
                  <w:r>
                    <w:rPr>
                      <w:rFonts w:hint="eastAsia"/>
                    </w:rPr>
                    <w:br w:type="textWrapping"/>
                  </w:r>
                  <w:r>
                    <w:rPr>
                      <w:rFonts w:hint="eastAsia"/>
                    </w:rPr>
                    <w:t>满分为200分。</w:t>
                  </w:r>
                  <w:r>
                    <w:rPr>
                      <w:rFonts w:hint="eastAsia"/>
                    </w:rPr>
                    <w:br w:type="textWrapping"/>
                  </w:r>
                  <w:r>
                    <w:rPr>
                      <w:rFonts w:hint="eastAsia"/>
                    </w:rPr>
                    <w:t>（2）204英语二，2020年12月26日下午14:00-17:00，满分为100分。</w:t>
                  </w:r>
                  <w:r>
                    <w:rPr>
                      <w:rFonts w:hint="eastAsia"/>
                    </w:rPr>
                    <w:br w:type="textWrapping"/>
                  </w:r>
                  <w:r>
                    <w:rPr>
                      <w:rFonts w:hint="eastAsia"/>
                    </w:rPr>
                    <w:t>2．复试</w:t>
                  </w:r>
                  <w:r>
                    <w:rPr>
                      <w:rFonts w:hint="eastAsia"/>
                    </w:rPr>
                    <w:br w:type="textWrapping"/>
                  </w:r>
                  <w:r>
                    <w:rPr>
                      <w:rFonts w:hint="eastAsia"/>
                    </w:rPr>
                    <w:t>　　凡初试上线者，须参加复试，复试具体安排及复试办法请随时关注</w:t>
                  </w:r>
                  <w:r>
                    <w:rPr>
                      <w:rFonts w:hint="default"/>
                    </w:rPr>
                    <w:t>MPA</w:t>
                  </w:r>
                  <w:r>
                    <w:rPr>
                      <w:rFonts w:hint="eastAsia"/>
                    </w:rPr>
                    <w:t>中心网站</w:t>
                  </w:r>
                  <w:r>
                    <w:rPr>
                      <w:rFonts w:hint="default"/>
                    </w:rPr>
                    <w:t>http://mpa.tjufe.edu.cn</w:t>
                  </w:r>
                  <w:r>
                    <w:rPr>
                      <w:rFonts w:hint="eastAsia"/>
                    </w:rPr>
                    <w:t>的相关通知。</w:t>
                  </w:r>
                  <w:r>
                    <w:rPr>
                      <w:rFonts w:hint="eastAsia"/>
                    </w:rPr>
                    <w:br w:type="textWrapping"/>
                  </w:r>
                  <w:r>
                    <w:rPr>
                      <w:rFonts w:hint="eastAsia"/>
                    </w:rPr>
                    <w:t>五、招生计划</w:t>
                  </w:r>
                  <w:r>
                    <w:rPr>
                      <w:rFonts w:hint="eastAsia"/>
                    </w:rPr>
                    <w:br w:type="textWrapping"/>
                  </w:r>
                  <w:r>
                    <w:rPr>
                      <w:rFonts w:hint="eastAsia"/>
                    </w:rPr>
                    <w:t>   2021年我校非全日制（定向）</w:t>
                  </w:r>
                  <w:r>
                    <w:rPr>
                      <w:rFonts w:hint="default"/>
                    </w:rPr>
                    <w:t>MPA</w:t>
                  </w:r>
                  <w:r>
                    <w:rPr>
                      <w:rFonts w:hint="eastAsia"/>
                    </w:rPr>
                    <w:t>计划招生122人。实际录取人数可能会根据规划部门实际下达计划数及统考合格生源情况，报学校招生领导小组同意后进行调整。</w:t>
                  </w:r>
                </w:p>
                <w:p/>
                <w:p>
                  <w:pPr>
                    <w:rPr>
                      <w:rFonts w:hint="eastAsia"/>
                    </w:rPr>
                  </w:pPr>
                  <w:r>
                    <w:rPr>
                      <w:rFonts w:hint="eastAsia"/>
                    </w:rPr>
                    <w:t>六、学制与学费</w:t>
                  </w:r>
                  <w:r>
                    <w:rPr>
                      <w:rFonts w:hint="eastAsia"/>
                    </w:rPr>
                    <w:br w:type="textWrapping"/>
                  </w:r>
                  <w:r>
                    <w:rPr>
                      <w:rFonts w:hint="eastAsia"/>
                    </w:rPr>
                    <w:t>学制为2.5年，学费为1.8万元/学年，总学费为4.5万元。</w:t>
                  </w:r>
                </w:p>
                <w:p/>
                <w:p>
                  <w:pPr>
                    <w:rPr>
                      <w:rFonts w:hint="eastAsia"/>
                    </w:rPr>
                  </w:pPr>
                  <w:r>
                    <w:rPr>
                      <w:rFonts w:hint="eastAsia"/>
                    </w:rPr>
                    <w:t>七、培养方式及学位授予</w:t>
                  </w:r>
                </w:p>
                <w:p/>
                <w:p>
                  <w:pPr>
                    <w:rPr>
                      <w:rFonts w:hint="eastAsia"/>
                    </w:rPr>
                  </w:pPr>
                  <w:r>
                    <w:rPr>
                      <w:rFonts w:hint="eastAsia"/>
                    </w:rPr>
                    <w:t>（1）按照我校</w:t>
                  </w:r>
                  <w:r>
                    <w:rPr>
                      <w:rFonts w:hint="default"/>
                    </w:rPr>
                    <w:t>MPA</w:t>
                  </w:r>
                  <w:r>
                    <w:rPr>
                      <w:rFonts w:hint="eastAsia"/>
                    </w:rPr>
                    <w:t>教学培养计划，完成全部课程学习，课程考试合格取得规定的学分；</w:t>
                  </w:r>
                  <w:r>
                    <w:rPr>
                      <w:rFonts w:hint="eastAsia"/>
                    </w:rPr>
                    <w:br w:type="textWrapping"/>
                  </w:r>
                  <w:r>
                    <w:rPr>
                      <w:rFonts w:hint="eastAsia"/>
                    </w:rPr>
                    <w:t>（2）学位论文通过答辩；</w:t>
                  </w:r>
                  <w:r>
                    <w:rPr>
                      <w:rFonts w:hint="eastAsia"/>
                    </w:rPr>
                    <w:br w:type="textWrapping"/>
                  </w:r>
                  <w:r>
                    <w:rPr>
                      <w:rFonts w:hint="eastAsia"/>
                    </w:rPr>
                    <w:t>　 达到以上要求，获得天津财经大学公共管理硕士学位证书和研究生毕业证书。</w:t>
                  </w:r>
                </w:p>
                <w:p/>
                <w:p>
                  <w:r>
                    <w:rPr>
                      <w:rFonts w:hint="eastAsia"/>
                    </w:rPr>
                    <w:t>八、学习方式及报考类别</w:t>
                  </w:r>
                  <w:r>
                    <w:rPr>
                      <w:rFonts w:hint="eastAsia"/>
                    </w:rPr>
                    <w:br w:type="textWrapping"/>
                  </w:r>
                  <w:r>
                    <w:rPr>
                      <w:rFonts w:hint="eastAsia"/>
                    </w:rPr>
                    <w:t>学习方式为非全日制，报考类别为定向。</w:t>
                  </w:r>
                </w:p>
                <w:p>
                  <w:r>
                    <w:rPr>
                      <w:rFonts w:hint="eastAsia"/>
                    </w:rPr>
                    <w:t>非全日制（定向）的考生，人事档案等不转入学校，录取前需与我校签订定向培养协议；实行非脱产在校学习的方式，上课时间为周末或者集中时间学习。</w:t>
                  </w:r>
                </w:p>
                <w:p>
                  <w:r>
                    <w:rPr>
                      <w:rFonts w:hint="eastAsia"/>
                    </w:rPr>
                    <w:t>九、报名流程</w:t>
                  </w:r>
                  <w:r>
                    <w:rPr>
                      <w:rFonts w:hint="eastAsia"/>
                    </w:rPr>
                    <w:br w:type="textWrapping"/>
                  </w:r>
                  <w:r>
                    <w:rPr>
                      <w:rFonts w:hint="eastAsia"/>
                    </w:rPr>
                    <w:t>（一）网上报名</w:t>
                  </w:r>
                  <w:r>
                    <w:rPr>
                      <w:rFonts w:hint="eastAsia"/>
                    </w:rPr>
                    <w:br w:type="textWrapping"/>
                  </w:r>
                  <w:r>
                    <w:rPr>
                      <w:rFonts w:hint="eastAsia"/>
                    </w:rPr>
                    <w:t>   网上预报名时间：9月24日—27日，9:00-22:00；</w:t>
                  </w:r>
                </w:p>
                <w:p>
                  <w:r>
                    <w:rPr>
                      <w:rFonts w:hint="eastAsia"/>
                    </w:rPr>
                    <w:t>网上报名时间：10月10日—31日，9:00-22:00。</w:t>
                  </w:r>
                </w:p>
                <w:p>
                  <w:r>
                    <w:rPr>
                      <w:rFonts w:hint="eastAsia"/>
                    </w:rPr>
                    <w:t>网报期间内，考生登录“中国研究生招生信息网（</w:t>
                  </w:r>
                  <w:r>
                    <w:rPr>
                      <w:rFonts w:hint="default"/>
                    </w:rPr>
                    <w:t>http://yz.chsi.com.cn</w:t>
                  </w:r>
                  <w:r>
                    <w:rPr>
                      <w:rFonts w:hint="eastAsia"/>
                    </w:rPr>
                    <w:t>）”填报信息，请认真阅读《2021 年全国硕士研究生招生工作管理规定》和《2021年全国硕士研究生招生考试公告》，按要求缴纳报名费。考生如选择天津财经大学报名点，网上确认（现场确认）须提供本市户籍证明（含常住户口、蓝印户口、集体户口），在津工作的非津户籍考生须提供本市居住证。</w:t>
                  </w:r>
                  <w:r>
                    <w:rPr>
                      <w:rFonts w:hint="eastAsia"/>
                    </w:rPr>
                    <w:br w:type="textWrapping"/>
                  </w:r>
                  <w:r>
                    <w:rPr>
                      <w:rFonts w:hint="eastAsia"/>
                    </w:rPr>
                    <w:t>   注：</w:t>
                  </w:r>
                  <w:r>
                    <w:rPr>
                      <w:rFonts w:hint="eastAsia"/>
                    </w:rPr>
                    <w:t>考生填报时</w:t>
                  </w:r>
                  <w:r>
                    <w:rPr>
                      <w:rFonts w:hint="eastAsia"/>
                    </w:rPr>
                    <w:t>必须真实填写“现工作单位”，写明常用联系方式、详细通讯地址及邮政编码。</w:t>
                  </w:r>
                </w:p>
                <w:p>
                  <w:r>
                    <w:rPr>
                      <w:rFonts w:hint="eastAsia"/>
                    </w:rPr>
                    <w:t>公共管理硕士的学位代码为：125200</w:t>
                  </w:r>
                  <w:r>
                    <w:rPr>
                      <w:rFonts w:hint="eastAsia"/>
                    </w:rPr>
                    <w:br w:type="textWrapping"/>
                  </w:r>
                  <w:r>
                    <w:rPr>
                      <w:rFonts w:hint="eastAsia"/>
                    </w:rPr>
                    <w:t>（二）网上确认（现场确认）：11月10日前。</w:t>
                  </w:r>
                  <w:r>
                    <w:rPr>
                      <w:rFonts w:hint="eastAsia"/>
                    </w:rPr>
                    <w:br w:type="textWrapping"/>
                  </w:r>
                  <w:r>
                    <w:rPr>
                      <w:rFonts w:hint="eastAsia"/>
                    </w:rPr>
                    <w:t>考生按要求准备相关报名材料，在规定时间内到报考点进行网上确认（现场确认），逾期不再补办，未参加网上确认（现场确认）的不予准考，具体安排详见各考点网上确认（现场确认）通知。</w:t>
                  </w:r>
                </w:p>
                <w:p>
                  <w:r>
                    <w:rPr>
                      <w:rFonts w:hint="eastAsia"/>
                    </w:rPr>
                    <w:t>注：报考点选择天津财经大学的考生，请关注我校考点网上确认（现场确认）通知，如有变化以通知为准。</w:t>
                  </w:r>
                </w:p>
                <w:p/>
                <w:p>
                  <w:pPr>
                    <w:rPr>
                      <w:rFonts w:hint="eastAsia"/>
                    </w:rPr>
                  </w:pPr>
                  <w:r>
                    <w:rPr>
                      <w:rFonts w:hint="eastAsia"/>
                    </w:rPr>
                    <w:t>下载准考证</w:t>
                  </w:r>
                </w:p>
                <w:p/>
                <w:p>
                  <w:pPr>
                    <w:rPr>
                      <w:rFonts w:hint="eastAsia"/>
                    </w:rPr>
                  </w:pPr>
                  <w:r>
                    <w:rPr>
                      <w:rFonts w:hint="eastAsia"/>
                    </w:rPr>
                    <w:t>   12月19日—28日，考生登录“研招网”下载打印《准考证》，请妥善保管《准考证》电子版。《准考证》正反两面在使用期间不得涂改。复试时需要携带《准考证》入场。</w:t>
                  </w:r>
                </w:p>
                <w:p/>
                <w:p>
                  <w:pPr>
                    <w:rPr>
                      <w:rFonts w:hint="eastAsia"/>
                    </w:rPr>
                  </w:pPr>
                  <w:r>
                    <w:rPr>
                      <w:rFonts w:hint="eastAsia"/>
                    </w:rPr>
                    <w:t>十、联系方式</w:t>
                  </w:r>
                  <w:r>
                    <w:rPr>
                      <w:rFonts w:hint="eastAsia"/>
                    </w:rPr>
                    <w:br w:type="textWrapping"/>
                  </w:r>
                  <w:r>
                    <w:rPr>
                      <w:rFonts w:hint="eastAsia"/>
                    </w:rPr>
                    <w:t>地址：天津市河西区珠江道25号，天津财经大学东院C座307室</w:t>
                  </w:r>
                  <w:r>
                    <w:rPr>
                      <w:rFonts w:hint="eastAsia"/>
                    </w:rPr>
                    <w:br w:type="textWrapping"/>
                  </w:r>
                  <w:r>
                    <w:rPr>
                      <w:rFonts w:hint="eastAsia"/>
                    </w:rPr>
                    <w:t>咨询电话：（022）28160161 　</w:t>
                  </w:r>
                  <w:r>
                    <w:rPr>
                      <w:rFonts w:hint="eastAsia"/>
                    </w:rPr>
                    <w:br w:type="textWrapping"/>
                  </w:r>
                  <w:r>
                    <w:rPr>
                      <w:rFonts w:hint="eastAsia"/>
                    </w:rPr>
                    <w:t>联系人：郭老师 阴老师　张老师</w:t>
                  </w:r>
                  <w:r>
                    <w:rPr>
                      <w:rFonts w:hint="eastAsia"/>
                    </w:rPr>
                    <w:br w:type="textWrapping"/>
                  </w:r>
                  <w:r>
                    <w:rPr>
                      <w:rFonts w:hint="default"/>
                    </w:rPr>
                    <w:t>MPA</w:t>
                  </w:r>
                  <w:r>
                    <w:rPr>
                      <w:rFonts w:hint="eastAsia"/>
                    </w:rPr>
                    <w:t>中心官网：</w:t>
                  </w:r>
                  <w:r>
                    <w:rPr>
                      <w:rFonts w:hint="default"/>
                    </w:rPr>
                    <w:t>http://mpa.tjufe.edu.cn</w:t>
                  </w:r>
                </w:p>
                <w:p/>
                <w:p>
                  <w:pPr>
                    <w:rPr>
                      <w:rFonts w:hint="eastAsia"/>
                    </w:rPr>
                  </w:pPr>
                  <w:r>
                    <w:rPr>
                      <w:rFonts w:hint="eastAsia"/>
                    </w:rPr>
                    <w:t>电子邮箱：</w:t>
                  </w:r>
                  <w:r>
                    <w:rPr>
                      <w:rFonts w:hint="default"/>
                    </w:rPr>
                    <w:t>mpa@tjufe.edu.cn</w:t>
                  </w:r>
                </w:p>
                <w:p/>
              </w:tc>
            </w:tr>
          </w:tbl>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1378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styleId="6">
    <w:name w:val=""/>
    <w:basedOn w:val="1"/>
    <w:next w:val="1"/>
    <w:uiPriority w:val="0"/>
    <w:pPr>
      <w:pBdr>
        <w:bottom w:val="single" w:color="auto" w:sz="6" w:space="1"/>
      </w:pBdr>
      <w:jc w:val="center"/>
    </w:pPr>
    <w:rPr>
      <w:rFonts w:ascii="Arial" w:eastAsia="宋体"/>
      <w:vanish/>
      <w:sz w:val="16"/>
    </w:rPr>
  </w:style>
  <w:style w:type="paragraph" w:styleId="7">
    <w:name w:val=""/>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2021-08-25T02:13:54Z</dcterms:created>
  <dc:creator>SUCCESS</dc:creator>
  <cp:lastModifiedBy>Yuer</cp:lastModifiedBy>
  <dcterms:modified xsi:type="dcterms:W3CDTF">2021-08-25T02:15:20Z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